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C7E" w:rsidRDefault="00D44C7E" w:rsidP="00D44C7E">
      <w:pPr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  <w:lang w:val="ru-RU"/>
        </w:rPr>
      </w:pPr>
      <w:r>
        <w:rPr>
          <w:rFonts w:ascii="Times New Roman" w:hAnsi="Times New Roman" w:cs="Times New Roman"/>
          <w:color w:val="000000"/>
          <w:sz w:val="19"/>
          <w:szCs w:val="19"/>
          <w:lang w:val="ru-RU"/>
        </w:rPr>
        <w:t>Контрольные вопросы и задания</w:t>
      </w:r>
    </w:p>
    <w:p w:rsidR="00D44C7E" w:rsidRDefault="00D44C7E" w:rsidP="00D44C7E">
      <w:pPr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  <w:lang w:val="ru-RU"/>
        </w:rPr>
      </w:pP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FE4023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1. Основные проблемы, связанные с устройством духовных школ в России в </w:t>
      </w:r>
      <w:r>
        <w:rPr>
          <w:rFonts w:ascii="Times New Roman" w:hAnsi="Times New Roman" w:cs="Times New Roman"/>
          <w:color w:val="000000"/>
          <w:sz w:val="19"/>
          <w:szCs w:val="19"/>
        </w:rPr>
        <w:t>XVIII</w:t>
      </w:r>
      <w:r w:rsidRPr="00FE4023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в. (организационные, кадровые, учебные, методические). 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Как изменялось понятие «духовное образование» в течение </w:t>
      </w:r>
      <w:r>
        <w:rPr>
          <w:rFonts w:ascii="Times New Roman" w:hAnsi="Times New Roman" w:cs="Times New Roman"/>
          <w:color w:val="000000"/>
          <w:sz w:val="19"/>
          <w:szCs w:val="19"/>
        </w:rPr>
        <w:t>XVIII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в.?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2.      Основные проблемы, связанные с богословским образованием в России в </w:t>
      </w:r>
      <w:r>
        <w:rPr>
          <w:rFonts w:ascii="Times New Roman" w:hAnsi="Times New Roman" w:cs="Times New Roman"/>
          <w:color w:val="000000"/>
          <w:sz w:val="19"/>
          <w:szCs w:val="19"/>
        </w:rPr>
        <w:t>XVIII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в. (структура «учебного богословия», взаимосвязь его частей, содержание, источники, методы учебных богословских курсов, западные и отечественные авторы богословских курсов, специфика их методов).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3.      Связь духовного и светского образования в </w:t>
      </w:r>
      <w:r>
        <w:rPr>
          <w:rFonts w:ascii="Times New Roman" w:hAnsi="Times New Roman" w:cs="Times New Roman"/>
          <w:color w:val="000000"/>
          <w:sz w:val="19"/>
          <w:szCs w:val="19"/>
        </w:rPr>
        <w:t>XVIII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в. Отношения богословия и других наук в </w:t>
      </w:r>
      <w:r>
        <w:rPr>
          <w:rFonts w:ascii="Times New Roman" w:hAnsi="Times New Roman" w:cs="Times New Roman"/>
          <w:color w:val="000000"/>
          <w:sz w:val="19"/>
          <w:szCs w:val="19"/>
        </w:rPr>
        <w:t>XVIII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в. (небогословские науки в духовных школах, богословие в Московском университете, учебные и научные контакты — на основе конкретных фактов).</w:t>
      </w:r>
    </w:p>
    <w:p w:rsidR="00D44C7E" w:rsidRPr="00FE4023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4.      Основные проблемы, на решение которых была направлена духовно-учебная реформа 1808–1814 гг. </w:t>
      </w:r>
      <w:r w:rsidRPr="00FE4023">
        <w:rPr>
          <w:rFonts w:ascii="Times New Roman" w:hAnsi="Times New Roman" w:cs="Times New Roman"/>
          <w:color w:val="000000"/>
          <w:sz w:val="19"/>
          <w:szCs w:val="19"/>
          <w:lang w:val="ru-RU"/>
        </w:rPr>
        <w:t>Какие пути разрешения этих проблем были предложены реформаторами, в какой степени были реализованы начальные идеи реформы, насколько успешной была реформа, результаты ее практического осуществления?</w:t>
      </w:r>
    </w:p>
    <w:p w:rsidR="00D44C7E" w:rsidRPr="00FE4023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5.      Проблемы, возникавшие в духовном образовании и богословской науке в 1830–1850-е гг. </w:t>
      </w:r>
      <w:r w:rsidRPr="00FE4023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Чем они были обусловлены, были ли попытки их разрешить? Как можно оценить уровень развития русского богословия (научного и учебного) к середине </w:t>
      </w:r>
      <w:r>
        <w:rPr>
          <w:rFonts w:ascii="Times New Roman" w:hAnsi="Times New Roman" w:cs="Times New Roman"/>
          <w:color w:val="000000"/>
          <w:sz w:val="19"/>
          <w:szCs w:val="19"/>
        </w:rPr>
        <w:t>XIX</w:t>
      </w:r>
      <w:r w:rsidRPr="00FE4023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в.?</w:t>
      </w:r>
    </w:p>
    <w:p w:rsidR="00D44C7E" w:rsidRPr="00FE4023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6.      Основные проблемы, которые стояли перед деятелями духовно-учебных реформ 1860-х гг. </w:t>
      </w:r>
      <w:r w:rsidRPr="00FE4023">
        <w:rPr>
          <w:rFonts w:ascii="Times New Roman" w:hAnsi="Times New Roman" w:cs="Times New Roman"/>
          <w:color w:val="000000"/>
          <w:sz w:val="19"/>
          <w:szCs w:val="19"/>
          <w:lang w:val="ru-RU"/>
        </w:rPr>
        <w:t>Какие пути разрешения этих проблем были предложены реформаторами, и насколько удачными показали себя эти предложения при их практическом осуществлении?</w:t>
      </w:r>
    </w:p>
    <w:p w:rsidR="00D44C7E" w:rsidRPr="00FE4023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7.      Значение академической реформы 1869 г. для духовного образования и русской богословской науки. </w:t>
      </w:r>
      <w:r w:rsidRPr="00FE4023">
        <w:rPr>
          <w:rFonts w:ascii="Times New Roman" w:hAnsi="Times New Roman" w:cs="Times New Roman"/>
          <w:color w:val="000000"/>
          <w:sz w:val="19"/>
          <w:szCs w:val="19"/>
          <w:lang w:val="ru-RU"/>
        </w:rPr>
        <w:t>Ответ подтвердить конкретными примерами. Решила ли эта реформа поставленные перед ней задачи? С чем связана быстрая смена Устава духовных академий 1869 г. новым Уставом?</w:t>
      </w:r>
    </w:p>
    <w:p w:rsidR="00D44C7E" w:rsidRPr="00FE4023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8.      Проблемы, связанные с богословскими исследованиями во второй половине </w:t>
      </w:r>
      <w:r>
        <w:rPr>
          <w:rFonts w:ascii="Times New Roman" w:hAnsi="Times New Roman" w:cs="Times New Roman"/>
          <w:color w:val="000000"/>
          <w:sz w:val="19"/>
          <w:szCs w:val="19"/>
        </w:rPr>
        <w:t>XIX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— начале </w:t>
      </w:r>
      <w:r>
        <w:rPr>
          <w:rFonts w:ascii="Times New Roman" w:hAnsi="Times New Roman" w:cs="Times New Roman"/>
          <w:color w:val="000000"/>
          <w:sz w:val="19"/>
          <w:szCs w:val="19"/>
        </w:rPr>
        <w:t>XX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вв.: выбор тем для исследований, методы исследований, соотнесение получаемых выводов с церковным Преданием. Система научно- богословской аттестации, критерии, предъявляемые к работам, представляемым на ученые богословские степени (ответ должен быть аргументирован и подтвержден конкретными фактами). </w:t>
      </w:r>
      <w:r w:rsidRPr="00FE4023">
        <w:rPr>
          <w:rFonts w:ascii="Times New Roman" w:hAnsi="Times New Roman" w:cs="Times New Roman"/>
          <w:color w:val="000000"/>
          <w:sz w:val="19"/>
          <w:szCs w:val="19"/>
          <w:lang w:val="ru-RU"/>
        </w:rPr>
        <w:t>Разные точки зрения на методы богословского исследования, конкретные научные сочинения, вызвавшие неоднозначную реакцию в высших церковных и научно- богословских кругах (из разных областей богословских исследований).</w:t>
      </w:r>
    </w:p>
    <w:p w:rsidR="00D44C7E" w:rsidRPr="00FE4023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9.      Реакция духовных школ — учащихся и преподавательских корпораций — на революционную ситуацию в России в 1905–1906 гг. </w:t>
      </w:r>
      <w:r w:rsidRPr="00FE4023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(как можно объяснить такую реакцию: внешним воздействием, внутренними проблемами духовных школ?) С какими внутренними проблемами была связана деятельность духовных школ в начале </w:t>
      </w:r>
      <w:r>
        <w:rPr>
          <w:rFonts w:ascii="Times New Roman" w:hAnsi="Times New Roman" w:cs="Times New Roman"/>
          <w:color w:val="000000"/>
          <w:sz w:val="19"/>
          <w:szCs w:val="19"/>
        </w:rPr>
        <w:t>XX</w:t>
      </w:r>
      <w:r w:rsidRPr="00FE4023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в., какие пути их решения предлагались церковной и светской властью, представителями епископата и духовно-учебных корпораций? Удалось ли решить эти проблемы в 1905–1906 гг., были ли они решены в дальнейшем?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10.  Проблемы духовного образования и богословской науки в России 1910-х гг. </w:t>
      </w:r>
      <w:r w:rsidRPr="00FE4023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Отношение к этим проблемам архиереев, профессоров и преподавателей духовных школ. Какие перспективы развития духовного образования (подготовки духовенства) и богословской науки виделись к 1917–1918 гг. 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(использовать проекты 1917–1918 гг., материалы комиссий по их составлению и материалы их обсуждения на Поместном Соборе  Православной Российской Церкви)?</w:t>
      </w:r>
    </w:p>
    <w:p w:rsidR="00D44C7E" w:rsidRPr="00FE4023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11.  Научные исследования в </w:t>
      </w:r>
      <w:r>
        <w:rPr>
          <w:rFonts w:ascii="Times New Roman" w:hAnsi="Times New Roman" w:cs="Times New Roman"/>
          <w:color w:val="000000"/>
          <w:sz w:val="19"/>
          <w:szCs w:val="19"/>
        </w:rPr>
        <w:t>XIX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— начале </w:t>
      </w:r>
      <w:r>
        <w:rPr>
          <w:rFonts w:ascii="Times New Roman" w:hAnsi="Times New Roman" w:cs="Times New Roman"/>
          <w:color w:val="000000"/>
          <w:sz w:val="19"/>
          <w:szCs w:val="19"/>
        </w:rPr>
        <w:t>XX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в.: в </w:t>
      </w:r>
      <w:proofErr w:type="spellStart"/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библеистике</w:t>
      </w:r>
      <w:proofErr w:type="spellEnd"/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, догматическом богословии, нравственном богословии, сравнительном богословии, пастырском богословии, патрологии, каноническом праве, истории Древней Церкви и </w:t>
      </w:r>
      <w:proofErr w:type="spellStart"/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Византологии</w:t>
      </w:r>
      <w:proofErr w:type="spellEnd"/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, истории Русской Церкви, </w:t>
      </w:r>
      <w:proofErr w:type="spellStart"/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литургике</w:t>
      </w:r>
      <w:proofErr w:type="spellEnd"/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и церковной археологии, </w:t>
      </w:r>
      <w:proofErr w:type="spellStart"/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гомилетическом</w:t>
      </w:r>
      <w:proofErr w:type="spellEnd"/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богословии, религиозной философии, словесности и славистике, миссионерских науках, истории и обличении раскола и сектантства (для ответа может быть выбрана одна область богословия, по желанию студента). </w:t>
      </w:r>
      <w:r w:rsidRPr="00FE4023">
        <w:rPr>
          <w:rFonts w:ascii="Times New Roman" w:hAnsi="Times New Roman" w:cs="Times New Roman"/>
          <w:color w:val="000000"/>
          <w:sz w:val="19"/>
          <w:szCs w:val="19"/>
          <w:lang w:val="ru-RU"/>
        </w:rPr>
        <w:t>Выделить основные направления исследований в данной области, методы, указать наиболее значительных ученых и их научные труды. Выделить основные проблемы, как научные, так и методологические, связанные с исследованиями в данной области.</w:t>
      </w:r>
    </w:p>
    <w:p w:rsidR="00D44C7E" w:rsidRPr="00FE4023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12.  Вопрос о переводе Библии на русский язык в </w:t>
      </w:r>
      <w:r>
        <w:rPr>
          <w:rFonts w:ascii="Times New Roman" w:hAnsi="Times New Roman" w:cs="Times New Roman"/>
          <w:color w:val="000000"/>
          <w:sz w:val="19"/>
          <w:szCs w:val="19"/>
        </w:rPr>
        <w:t>XIX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в. Выделить основные периоды в процессе перевода Библии на русский язык, указать основную проблематику каждого этапа. </w:t>
      </w:r>
      <w:r w:rsidRPr="00FE4023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Прокомментировать богословские споры по вопросу допустимости перевода Священного Писания на русский язык, по вопросу выбора источника (текста) для перевода. Деятельность Библейской комиссии по научному изданию славянского текста Библии в начале </w:t>
      </w:r>
      <w:r>
        <w:rPr>
          <w:rFonts w:ascii="Times New Roman" w:hAnsi="Times New Roman" w:cs="Times New Roman"/>
          <w:color w:val="000000"/>
          <w:sz w:val="19"/>
          <w:szCs w:val="19"/>
        </w:rPr>
        <w:t>XX</w:t>
      </w:r>
      <w:r w:rsidRPr="00FE4023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в., проблемы, возникавшие в этом процессе?</w:t>
      </w:r>
    </w:p>
    <w:p w:rsidR="00D44C7E" w:rsidRPr="00FE4023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13.  Проблемы научной апологетики </w:t>
      </w:r>
      <w:r>
        <w:rPr>
          <w:rFonts w:ascii="Times New Roman" w:hAnsi="Times New Roman" w:cs="Times New Roman"/>
          <w:color w:val="000000"/>
          <w:sz w:val="19"/>
          <w:szCs w:val="19"/>
        </w:rPr>
        <w:t>XIX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— начала </w:t>
      </w:r>
      <w:r>
        <w:rPr>
          <w:rFonts w:ascii="Times New Roman" w:hAnsi="Times New Roman" w:cs="Times New Roman"/>
          <w:color w:val="000000"/>
          <w:sz w:val="19"/>
          <w:szCs w:val="19"/>
        </w:rPr>
        <w:t>XX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в. Роль духовно-академической   науки и университетских профессоров богословия в решении этих проблем. </w:t>
      </w:r>
      <w:r w:rsidRPr="00FE4023">
        <w:rPr>
          <w:rFonts w:ascii="Times New Roman" w:hAnsi="Times New Roman" w:cs="Times New Roman"/>
          <w:color w:val="000000"/>
          <w:sz w:val="19"/>
          <w:szCs w:val="19"/>
          <w:lang w:val="ru-RU"/>
        </w:rPr>
        <w:t>Основные направления в научной апологетике, труды и их авторы.    14. Богословские науки в российских университетах (основные этапы, характерные черты и главные проблемы каждого этапа). С какими проблемами было связано  преподавание богословия в российских университетах, какие предлагались пути решения этих проблем (</w:t>
      </w:r>
      <w:r>
        <w:rPr>
          <w:rFonts w:ascii="Times New Roman" w:hAnsi="Times New Roman" w:cs="Times New Roman"/>
          <w:color w:val="000000"/>
          <w:sz w:val="19"/>
          <w:szCs w:val="19"/>
        </w:rPr>
        <w:t>XVIII</w:t>
      </w:r>
      <w:r w:rsidRPr="00FE4023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— начало </w:t>
      </w:r>
      <w:r>
        <w:rPr>
          <w:rFonts w:ascii="Times New Roman" w:hAnsi="Times New Roman" w:cs="Times New Roman"/>
          <w:color w:val="000000"/>
          <w:sz w:val="19"/>
          <w:szCs w:val="19"/>
        </w:rPr>
        <w:t>XX</w:t>
      </w:r>
      <w:r w:rsidRPr="00FE4023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в.)? 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Значение университетской реформы 1863 г. в развитии богословских наук в университетах? </w:t>
      </w:r>
      <w:r w:rsidRPr="00FE4023">
        <w:rPr>
          <w:rFonts w:ascii="Times New Roman" w:hAnsi="Times New Roman" w:cs="Times New Roman"/>
          <w:color w:val="000000"/>
          <w:sz w:val="19"/>
          <w:szCs w:val="19"/>
          <w:lang w:val="ru-RU"/>
        </w:rPr>
        <w:t>Результаты развития университетского богословия, перспективы, намеченные в этом процессе к концу синодального периода..</w:t>
      </w:r>
    </w:p>
    <w:p w:rsidR="00A1132A" w:rsidRDefault="00D44C7E" w:rsidP="00D44C7E">
      <w:pPr>
        <w:rPr>
          <w:rFonts w:ascii="Times New Roman" w:hAnsi="Times New Roman" w:cs="Times New Roman"/>
          <w:color w:val="000000"/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15.  Участие членов профессорско-преподавательских корпораций духовных академий в обще-научных </w:t>
      </w:r>
      <w:proofErr w:type="gramStart"/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мероприятиях</w:t>
      </w:r>
      <w:r w:rsidRPr="00FE4023">
        <w:rPr>
          <w:rFonts w:ascii="Times New Roman" w:hAnsi="Times New Roman" w:cs="Times New Roman"/>
          <w:color w:val="000000"/>
          <w:sz w:val="19"/>
          <w:szCs w:val="19"/>
          <w:lang w:val="ru-RU"/>
        </w:rPr>
        <w:t>(</w:t>
      </w:r>
      <w:proofErr w:type="gramEnd"/>
      <w:r w:rsidRPr="00FE4023">
        <w:rPr>
          <w:rFonts w:ascii="Times New Roman" w:hAnsi="Times New Roman" w:cs="Times New Roman"/>
          <w:color w:val="000000"/>
          <w:sz w:val="19"/>
          <w:szCs w:val="19"/>
          <w:lang w:val="ru-RU"/>
        </w:rPr>
        <w:t>общества, съезды, общие издательские и исследовательские проекты; контакты с представителями светской науки, командировки за границу). В каких областях науки это участие было наиболее плодотворным (подтвердить конкретными примерами)?</w:t>
      </w:r>
    </w:p>
    <w:p w:rsidR="00723A0F" w:rsidRDefault="00723A0F" w:rsidP="00D44C7E">
      <w:pPr>
        <w:rPr>
          <w:lang w:val="ru-RU"/>
        </w:rPr>
      </w:pPr>
    </w:p>
    <w:p w:rsidR="00D44C7E" w:rsidRDefault="00D44C7E" w:rsidP="00D44C7E">
      <w:pPr>
        <w:rPr>
          <w:lang w:val="ru-RU"/>
        </w:rPr>
      </w:pPr>
      <w:bookmarkStart w:id="0" w:name="_GoBack"/>
      <w:bookmarkEnd w:id="0"/>
      <w:r>
        <w:rPr>
          <w:lang w:val="ru-RU"/>
        </w:rPr>
        <w:lastRenderedPageBreak/>
        <w:t>Темы письменных работ</w:t>
      </w:r>
    </w:p>
    <w:p w:rsidR="00D44C7E" w:rsidRPr="00FE4023" w:rsidRDefault="00D44C7E" w:rsidP="00D44C7E">
      <w:pPr>
        <w:spacing w:after="0" w:line="240" w:lineRule="auto"/>
        <w:rPr>
          <w:sz w:val="19"/>
          <w:szCs w:val="19"/>
          <w:lang w:val="ru-RU"/>
        </w:rPr>
      </w:pPr>
      <w:r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1. </w:t>
      </w:r>
      <w:r w:rsidRPr="00FE4023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Латинские и греческие тенденции в русских духовных школах конца </w:t>
      </w:r>
      <w:r>
        <w:rPr>
          <w:rFonts w:ascii="Times New Roman" w:hAnsi="Times New Roman" w:cs="Times New Roman"/>
          <w:color w:val="000000"/>
          <w:sz w:val="19"/>
          <w:szCs w:val="19"/>
        </w:rPr>
        <w:t>XVII</w:t>
      </w:r>
      <w:r w:rsidRPr="00FE4023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— начала </w:t>
      </w:r>
      <w:r>
        <w:rPr>
          <w:rFonts w:ascii="Times New Roman" w:hAnsi="Times New Roman" w:cs="Times New Roman"/>
          <w:color w:val="000000"/>
          <w:sz w:val="19"/>
          <w:szCs w:val="19"/>
        </w:rPr>
        <w:t>XVIII</w:t>
      </w:r>
      <w:r w:rsidRPr="00FE4023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в.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2.      Католическое и протестантское влияние на русское духовное образование и русское богословие в </w:t>
      </w:r>
      <w:r>
        <w:rPr>
          <w:rFonts w:ascii="Times New Roman" w:hAnsi="Times New Roman" w:cs="Times New Roman"/>
          <w:color w:val="000000"/>
          <w:sz w:val="19"/>
          <w:szCs w:val="19"/>
        </w:rPr>
        <w:t>XVIII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в.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3.      Митрополит Стефан (Яворский) и архиепископ Феофан (Прокопович) — богословское противостояние.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4.      Архиепископ Феофан (Прокопович) как деятель духовного образования.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5.      Роль отдельных духовных школ в развитии духовного образования и богословской науки в </w:t>
      </w:r>
      <w:r>
        <w:rPr>
          <w:rFonts w:ascii="Times New Roman" w:hAnsi="Times New Roman" w:cs="Times New Roman"/>
          <w:color w:val="000000"/>
          <w:sz w:val="19"/>
          <w:szCs w:val="19"/>
        </w:rPr>
        <w:t>XVIII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в. (Киевской и Московской академий, Александро-Невской и Казанской семинарий, Харьковского коллегиума — для доклада может быть выбрана одна школа, может быть проведен сравнительный анализ деятельности двух или нескольких духовных школ).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6.      Структура богословского знания в представлении авторов духовно-учебных проектов в России в </w:t>
      </w:r>
      <w:r>
        <w:rPr>
          <w:rFonts w:ascii="Times New Roman" w:hAnsi="Times New Roman" w:cs="Times New Roman"/>
          <w:color w:val="000000"/>
          <w:sz w:val="19"/>
          <w:szCs w:val="19"/>
        </w:rPr>
        <w:t>XIX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— начале </w:t>
      </w:r>
      <w:r>
        <w:rPr>
          <w:rFonts w:ascii="Times New Roman" w:hAnsi="Times New Roman" w:cs="Times New Roman"/>
          <w:color w:val="000000"/>
          <w:sz w:val="19"/>
          <w:szCs w:val="19"/>
        </w:rPr>
        <w:t>XX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в. (период может быть сужен по деланию автора доклада, при условии конкретизации изучения).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7.      Исторические методы в богословии на примере трудов профессоров русских духовных академий </w:t>
      </w:r>
      <w:r>
        <w:rPr>
          <w:rFonts w:ascii="Times New Roman" w:hAnsi="Times New Roman" w:cs="Times New Roman"/>
          <w:color w:val="000000"/>
          <w:sz w:val="19"/>
          <w:szCs w:val="19"/>
        </w:rPr>
        <w:t>XVIII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— начале </w:t>
      </w:r>
      <w:r>
        <w:rPr>
          <w:rFonts w:ascii="Times New Roman" w:hAnsi="Times New Roman" w:cs="Times New Roman"/>
          <w:color w:val="000000"/>
          <w:sz w:val="19"/>
          <w:szCs w:val="19"/>
        </w:rPr>
        <w:t>XX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в. (период может быть сужен по деланию автора доклада, при условии конкретизации изучения).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8.      Влияние протестантской немецкой науки на русские церковно-исторические труды </w:t>
      </w:r>
      <w:r>
        <w:rPr>
          <w:rFonts w:ascii="Times New Roman" w:hAnsi="Times New Roman" w:cs="Times New Roman"/>
          <w:color w:val="000000"/>
          <w:sz w:val="19"/>
          <w:szCs w:val="19"/>
        </w:rPr>
        <w:t>XIX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в. (по желанию автора доклада может быть выбрана конкретная область богословия).</w:t>
      </w:r>
    </w:p>
    <w:p w:rsidR="00D44C7E" w:rsidRPr="00FE4023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FE4023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9.      Исследования по истории старообрядчества 1880–1890-х гг. и проблемы, с ними связанные (на примере дискуссии профессоров Московской духовной академии Н. Ф. </w:t>
      </w:r>
      <w:proofErr w:type="spellStart"/>
      <w:r w:rsidRPr="00FE4023">
        <w:rPr>
          <w:rFonts w:ascii="Times New Roman" w:hAnsi="Times New Roman" w:cs="Times New Roman"/>
          <w:color w:val="000000"/>
          <w:sz w:val="19"/>
          <w:szCs w:val="19"/>
          <w:lang w:val="ru-RU"/>
        </w:rPr>
        <w:t>Каптерева</w:t>
      </w:r>
      <w:proofErr w:type="spellEnd"/>
      <w:r w:rsidRPr="00FE4023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и Н. И. Субботина).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10.  Богословие в русских университетах: профессора богословия, церковной истории и церковного права (по желанию автора доклада может быть выбрана конкретная историческая эпоха в рамках синодального периода или конкретный университет).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11.  История идеи создания богословских факультетов в русских университетах в </w:t>
      </w:r>
      <w:r>
        <w:rPr>
          <w:rFonts w:ascii="Times New Roman" w:hAnsi="Times New Roman" w:cs="Times New Roman"/>
          <w:color w:val="000000"/>
          <w:sz w:val="19"/>
          <w:szCs w:val="19"/>
        </w:rPr>
        <w:t>XVIII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— начале </w:t>
      </w:r>
      <w:r>
        <w:rPr>
          <w:rFonts w:ascii="Times New Roman" w:hAnsi="Times New Roman" w:cs="Times New Roman"/>
          <w:color w:val="000000"/>
          <w:sz w:val="19"/>
          <w:szCs w:val="19"/>
        </w:rPr>
        <w:t>XX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в.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12.  Борьба за автономию в русских духовных академиях в начале </w:t>
      </w:r>
      <w:r>
        <w:rPr>
          <w:rFonts w:ascii="Times New Roman" w:hAnsi="Times New Roman" w:cs="Times New Roman"/>
          <w:color w:val="000000"/>
          <w:sz w:val="19"/>
          <w:szCs w:val="19"/>
        </w:rPr>
        <w:t>XX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в. и вопрос о церковности духовной школы.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13.  «Записки» архиепископа Антония (Храповицкого) о духовных академиях.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14.  Диалог Русской Православной Церкви с Англиканской церковью во второй половине </w:t>
      </w:r>
      <w:r>
        <w:rPr>
          <w:rFonts w:ascii="Times New Roman" w:hAnsi="Times New Roman" w:cs="Times New Roman"/>
          <w:color w:val="000000"/>
          <w:sz w:val="19"/>
          <w:szCs w:val="19"/>
        </w:rPr>
        <w:t>XIX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в. и участие в нем представителей духовных академий.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15.  Диалог Русской Православной Церкви со старокатоликами во второй половине </w:t>
      </w:r>
      <w:r>
        <w:rPr>
          <w:rFonts w:ascii="Times New Roman" w:hAnsi="Times New Roman" w:cs="Times New Roman"/>
          <w:color w:val="000000"/>
          <w:sz w:val="19"/>
          <w:szCs w:val="19"/>
        </w:rPr>
        <w:t>XIX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века и участие в нем представителей духовных академий.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16.  История Российского Библейского общества (1812–1826).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17.  Выпускники русских духовных академий — сотрудники православных миссий (по желанию автора доклада может быть выбран конкретная историческая эпоха в рамках синодального периода или конкретное миссионерское направление).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18.  Роль Казанской духовной академии в русском миссионерстве </w:t>
      </w:r>
      <w:r>
        <w:rPr>
          <w:rFonts w:ascii="Times New Roman" w:hAnsi="Times New Roman" w:cs="Times New Roman"/>
          <w:color w:val="000000"/>
          <w:sz w:val="19"/>
          <w:szCs w:val="19"/>
        </w:rPr>
        <w:t>XIX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— начала </w:t>
      </w:r>
      <w:r>
        <w:rPr>
          <w:rFonts w:ascii="Times New Roman" w:hAnsi="Times New Roman" w:cs="Times New Roman"/>
          <w:color w:val="000000"/>
          <w:sz w:val="19"/>
          <w:szCs w:val="19"/>
        </w:rPr>
        <w:t>XX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в.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19.  Роль русских православных духовных академий в переводе Священного Писания на русский язык.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20.  Исследователи и толкователи Священного Писания в русских православных духовных академиях.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21.  Труды духовных академий по переводу и изданию святоотеческих творений в </w:t>
      </w:r>
      <w:r>
        <w:rPr>
          <w:rFonts w:ascii="Times New Roman" w:hAnsi="Times New Roman" w:cs="Times New Roman"/>
          <w:color w:val="000000"/>
          <w:sz w:val="19"/>
          <w:szCs w:val="19"/>
        </w:rPr>
        <w:t>XIX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— начале </w:t>
      </w:r>
      <w:r>
        <w:rPr>
          <w:rFonts w:ascii="Times New Roman" w:hAnsi="Times New Roman" w:cs="Times New Roman"/>
          <w:color w:val="000000"/>
          <w:sz w:val="19"/>
          <w:szCs w:val="19"/>
        </w:rPr>
        <w:t>XX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в.: проблемы и достижения.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22.  </w:t>
      </w:r>
      <w:proofErr w:type="spellStart"/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Патрологические</w:t>
      </w:r>
      <w:proofErr w:type="spellEnd"/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школы в русских православных духовных академиях.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23.  Церковно-исторические школы в русских православных духовных академиях.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24.  Изучение истории раскола в русских духовных школах: преподавание, научные труды и их авторы.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25.  Ученые-византологи и ученые-слависты в русских духовных академиях.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26.  Ученые-</w:t>
      </w:r>
      <w:proofErr w:type="spellStart"/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канонисты</w:t>
      </w:r>
      <w:proofErr w:type="spellEnd"/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в русских духовных академиях в </w:t>
      </w:r>
      <w:r>
        <w:rPr>
          <w:rFonts w:ascii="Times New Roman" w:hAnsi="Times New Roman" w:cs="Times New Roman"/>
          <w:color w:val="000000"/>
          <w:sz w:val="19"/>
          <w:szCs w:val="19"/>
        </w:rPr>
        <w:t>XIX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— начале </w:t>
      </w:r>
      <w:r>
        <w:rPr>
          <w:rFonts w:ascii="Times New Roman" w:hAnsi="Times New Roman" w:cs="Times New Roman"/>
          <w:color w:val="000000"/>
          <w:sz w:val="19"/>
          <w:szCs w:val="19"/>
        </w:rPr>
        <w:t>XX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в.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27.  Литургическая наука в русских православных духовных академиях.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28.  Философские науки в русских духовных академиях </w:t>
      </w:r>
      <w:r>
        <w:rPr>
          <w:rFonts w:ascii="Times New Roman" w:hAnsi="Times New Roman" w:cs="Times New Roman"/>
          <w:color w:val="000000"/>
          <w:sz w:val="19"/>
          <w:szCs w:val="19"/>
        </w:rPr>
        <w:t>XIX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— начале </w:t>
      </w:r>
      <w:r>
        <w:rPr>
          <w:rFonts w:ascii="Times New Roman" w:hAnsi="Times New Roman" w:cs="Times New Roman"/>
          <w:color w:val="000000"/>
          <w:sz w:val="19"/>
          <w:szCs w:val="19"/>
        </w:rPr>
        <w:t>XX</w:t>
      </w: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в.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29.  Церковная словесность в русских православных академиях: теория и практика.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30.  Миссионерские науки в русских духовных школах: проблемы и достижения.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31.  Русская христианско-апологетическая наука: проблемы и достижения.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32.  Митрополит Платон (Левшин), его деятельность в области духовного образования.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33.  Митрополит Гавриил (Петров), его деятельность в области духовного образования.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34.  Митрополит Евгений (Болховитинов), его духовно-учебная деятельность и церковно-исторические труды.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35.  Митрополит Филарет (Дроздов), его богословские труды и взгляды на духовное образование.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36.  Митрополит </w:t>
      </w:r>
      <w:proofErr w:type="spellStart"/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Макарий</w:t>
      </w:r>
      <w:proofErr w:type="spellEnd"/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(Булгаков) как богослов, церковный историк и деятель духовного образования.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37.  Архиепископ Филарет (Гумилевский) и его богословские и церковно-исторические труды.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38.  Протоиерей Герасим Петрович Павский: переводчик Священного Писания, экзегет, законоучитель.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39.  Архимандрит </w:t>
      </w:r>
      <w:proofErr w:type="spellStart"/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Макарий</w:t>
      </w:r>
      <w:proofErr w:type="spellEnd"/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(Глухарев) и его богословская, переводческая и миссионерская деятельность.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40.  Протоиерей Иосиф Васильевич Васильев, его участие в деле духовного образования и участие в межконфессиональных контактах Русской Православной Церкви.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41.  Протопресвитер Иоанн Леонтьевич Янышев, его участие в деле духовного образования и богословские труды.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42.  Святитель Феофан Затворник и его вклад в русскую экзегетику.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43.  Н. И. </w:t>
      </w:r>
      <w:proofErr w:type="spellStart"/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Ильминский</w:t>
      </w:r>
      <w:proofErr w:type="spellEnd"/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и его миссионерские труды.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44.  Профессор Е. Е. Голубинский и критическое направление в исследованиях по истории Русской Церкви.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45.  Профессор А. П. Лебедев и его церковно-исторические труды.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46.  Профессор В. В. </w:t>
      </w:r>
      <w:proofErr w:type="spellStart"/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Болотов</w:t>
      </w:r>
      <w:proofErr w:type="spellEnd"/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 xml:space="preserve"> и его значение для русской церковно-исторической науки.</w:t>
      </w:r>
    </w:p>
    <w:p w:rsidR="00D44C7E" w:rsidRPr="00D44C7E" w:rsidRDefault="00D44C7E" w:rsidP="00D44C7E">
      <w:pPr>
        <w:spacing w:after="0" w:line="240" w:lineRule="auto"/>
        <w:rPr>
          <w:sz w:val="19"/>
          <w:szCs w:val="19"/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47.  Профессор протоиерей А. В. Горский, его богословские и церковно-исторические труды.</w:t>
      </w:r>
    </w:p>
    <w:p w:rsidR="00D44C7E" w:rsidRPr="00D44C7E" w:rsidRDefault="00D44C7E" w:rsidP="00D44C7E">
      <w:pPr>
        <w:rPr>
          <w:lang w:val="ru-RU"/>
        </w:rPr>
      </w:pPr>
      <w:r w:rsidRPr="00D44C7E">
        <w:rPr>
          <w:rFonts w:ascii="Times New Roman" w:hAnsi="Times New Roman" w:cs="Times New Roman"/>
          <w:color w:val="000000"/>
          <w:sz w:val="19"/>
          <w:szCs w:val="19"/>
          <w:lang w:val="ru-RU"/>
        </w:rPr>
        <w:t>48.  Профессор Н. Н. Глубоковский, его богословские труды, взгляды на духовное образование и богословскую науку.</w:t>
      </w:r>
    </w:p>
    <w:sectPr w:rsidR="00D44C7E" w:rsidRPr="00D44C7E" w:rsidSect="00A11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55E18"/>
    <w:multiLevelType w:val="hybridMultilevel"/>
    <w:tmpl w:val="BF88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C7E"/>
    <w:rsid w:val="00723A0F"/>
    <w:rsid w:val="00A1132A"/>
    <w:rsid w:val="00D44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4BB5B"/>
  <w15:docId w15:val="{9DC7D741-8708-4841-B839-91625603D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C7E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C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C7E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1631</Words>
  <Characters>9299</Characters>
  <Application>Microsoft Office Word</Application>
  <DocSecurity>0</DocSecurity>
  <Lines>77</Lines>
  <Paragraphs>21</Paragraphs>
  <ScaleCrop>false</ScaleCrop>
  <Company>SPecialiST RePack</Company>
  <LinksUpToDate>false</LinksUpToDate>
  <CharactersWithSpaces>10909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nkiseleva</cp:lastModifiedBy>
  <cp:revision>2</cp:revision>
  <dcterms:created xsi:type="dcterms:W3CDTF">2021-10-04T06:37:00Z</dcterms:created>
  <dcterms:modified xsi:type="dcterms:W3CDTF">2021-10-05T09:27:00Z</dcterms:modified>
</cp:coreProperties>
</file>